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«Т Плюс» в лице филиала «Мордовский» (далее - компания) обратилось в Арбитражный суд Пензенской области с иском к обществу с ограниченной ответственностью «СТМ» (далее - общество) о взыскании 24 061 195 руб. убытков. Решением Арбитражного суда Пензенской области от 10.12.2019, оставленным без изменения постановлением Одиннадцатого арбитражного апелляционного суда от 17.03.2020, с общества в пользу компании взысканы убытки в размере 12 030 547 руб. 50 коп., а также расходы по уплате государственной пошлины в размере 71 653 руб., в удовлетворении остальной части иска отказано. Постановлением Арбитражного суда Поволжского округа от 26.06.2020 указанные судебные акты отменены, дело направлено на новое рассмотрение в суд первой инстанции. Принятым при новом рассмотрении дела решением Арбитражного суда Пензенской области от 05.11.2020, оставленным без изменения постановлением Одиннадцатого арбитражного апелляционного суда от 11.02.2021 и постановлением Арбитражного суда Поволжского округа от 25.06.2021, 2 с общества в пользу компании взыскано 16 842 836 руб. 50 коп. убытков, 102 414 руб. расходов по уплате государственной пошлины, в удовлетворении остальной части иска отказано. Общество обратилось в Арбитражный суд Пензенской области с заявлением о пересмотре решения от 05.11.2020 по вновь открывшимся обстоятельствам. Определением Арбитражного суда Пензенской области от 30.08.2021, оставленным без изменения постановлением Одиннадцатого арбитражного апелляционного суда от 24.11.2021 и постановлением Арбитражного суда Поволжского округа от 31.01.2022, заявление общества оставлено без удовлетворения. В кассационной жалобе, поданной в Верховный Суд Российской Федерации, общество просит отменить указанные судебные акты как незаконные.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доводов кассационной жалобы и обжалуемых судебных актов не установлено. Отказывая в удовлетворении заявления общества, суды руководствовались положениями статей 309, 311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исходили из того, что приведенные заявителем обстоятельства не являются вновь открывшимися по смыслу статьи 311 Арбитражного процессуального кодекса Российской Федерации и не могут служить основанием для пересмотра принятого по существу спора судебного акта. Доводы кассационной жалобы были предметом рассмотрения судов, получили правовую оценку, не опровергают выводы судов, не подтверждают существенных нарушений судами норм права, повлиявших на исход дела,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