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«Сбербанк России» (далее – банк) в дело о банкротстве Авакяна С.Г. (далее – должник) подало заявление о включении основанного на кредитном договоре требования в реестр как обеспеченного залогом. В качестве третьего лица к участию в споре привлечено акционерное общество «СК Донстрой» (далее – компания). Требование о признании залогового статуса задолженности и процентов выделено в отдельное производство и определением Арбитражного суда Воронежской области от 31.03.3021 в его удовлетворении отказано. Постановлением Девятнадцатого арбитражного апелляционного суда от 30.07.2021 и постановлением Арбитражного суда Центрального округа от 26.10.2021 определение от 31.03.2021 оставлено без изменения. В кассационной жалобе банк просит об отмене судебных актов и направлении дела на новое рассмотрение, ссылаясь на незаконное ограничение объема находящихся в залоге прав, влекущее неосновательное обогащение должника и кредиторов. 2 Из материалов дела усматриваются и судами установлены следующие обстоятельства. Согласно кредитному договору от 31.10.2014 № 43452 банк предоставил должнику кредит в сумме 123 500 000 рублей. В обеспечение исполнения обязательств по договору № 43452 должник предоставил в залог права требования участника долевого строительства по договору участия в долевом строительстве многоквартирного дома от 31.10.2014 № ДС-647, заключенному с компанией. Решением Никулинского районного суда города Москвы от 04.04.2019 по делу № 2-1403/2019 договор № ДС-647 признан расторгнутым, требование о взыскании денежных средств оставлены без рассмотрения. Апелляционным определением судебной коллегии по гражданским делам Московского городского суда от 22.01.2021 решение Никулинского районного суда от 04.04.2019 отменено в оставленной без рассмотрения части иска и с компании в пользу должника взыскано 159 109 512 рублей уплаченных по договору № ДС-647 и 103 665 150 рублей процентов за пользование чужими денежными средствами. Руководствуясь пунктом 2 статьи 453, пунктом 1 статьи 352 Гражданского кодекса Российской Федерации, суды признали прекращение заложенного права требования в связи с расторжением договора № ДС-647, из которого возник залог. Между тем в связи с расторжением договора № ДС-647 у должника возникает право требования возврата уплаченных по договору денежных средств и уплаты процентов (пункт 8.4 договора, часть 2 статьи 9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Федерации»), подтвержденное названными судебными актами. В такой ситуации доводы жалобы об обеспеченности залогом требования должника в связи с расторжением договора № ДС-647 и наличии у банка права требовать причитающуюся с должника сумму по кредитному договору непосредственно с компании основаны на статьях 453, пункте 2 статьи 334 Гражданского кодекса Российской Федерации и заслуживают внимания. Для проверки указанных доводов жалоба вместе с делом передается для рассмотрения в судебном заседании Судебной коллегии по экономическим спорам Верховного Суда Российской Федерации. Руководствуясь статьей 184,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публичного акционерного общества «Сбербанк России» на определение Арбитражного суда Воронежской области от 31.03.2021, постановление Девятнадцатого арбитражного апелляционного суда от 30.07.2021 и постановление Арбитражного суда Центрального округа от 26.10.2021 по делу № А14-13801/2016 передать для рассмотрения в судебном 3 заседании Судебной коллегии по экономическим спорам Верховного Суда Российской Федерации. Назначить рассмотрение кассационной жалобы в судебном заседании Судебной коллегии по экономическим спорам Верховного Суда Российской Федерации на 16 июня 2022 года в 14 часов 30 минут в помещении суда по адресу: Москва, улица Поварская, дом 15, зал № 3048 (подъезд 5).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