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17.09.2021, оставленным без изменения постановлением Двенадцатого арбитражного 2 апелляционного суда от 11.11.2021, в удовлетворении заявленных требований отказано. Постановлением Арбитражного суда Поволжского округа от 04.02.2022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акта отменить, считая их незаконными и необоснованными.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19.7.13 Кодекса Российской Федерации об административных правонарушениях установлена административная ответственность за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формы учета перемещения товаров, содержащей недостоверные сведения. Оценив представленные доказательства, руководствуясь положениями Федерального закона от 03.08.2018 № 289-ФЗ «О таможенном регулировании в Российской Федерации и о внесении изменений в отдельные законодательные акты Российской Федерации», Правила ведения статистики взаимной торговли Российской Федерации с государствами - членами Евразийского 3 экономического союза, утвержденными Постановлением Правительства Российской Федерации от 19.06.2020 № 891, суды пришли к выводу о наличии в действиях общества состава административного правонарушения, предусмотренного частью 1 статьи 19.7.13 Кодекса Российской Федерации об административных правонарушениях, установив несвоевременное представление обществом в таможенный орган статистических форм учета перемещения товаров. При этом суды исходили из того, что общество, являясь участником таможенных правоотношений, обязано обеспечить соблюдение порядка ведения статистики взаимной торговли Российской Федерации с государствами - членами Евразийского экономического союза, и не проявило той степени заботливости и осмотрительности, которая от него требовалась в рассматриваемом случае, что повлекло за собой совершение правонарушения. Судами установлено, что процедура и срок давности привлечения к административной ответственности соблюдены, административное наказание в виде штрафа назначено в минимальном размере санкции нормы. Вопрос о снижении санкций, о наличии оснований для признания правонарушения малозначительным связан с оценкой доказательств по делу и входит в компетенцию судов первой и апелляционной инстанций, которые не усмотрели наличия к тому правовых и фактических оснований.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обществом не приведено. Ходатайство о проведении видеоконференц-связи подлежит оставлению без удовлетворения, поскольку судья Верховного Суда Российской Федерации изучает кассационные жалобу по приложенным к ней материалам без вызова сторон. Кассационная жалоба вместе с делом рассматривается в судебном заседании Судебной коллегии Верховного Суда Российской Федерации в случае установления судьей оснований для передачи такой жалобы вместе с 4 делом для рассмотрения в судебном заседании Судебной коллегии Верховного Суда Российской Федерации и вынесения определения о передаче жалобы Суда Российской Федерации. В данном случае таких оснований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