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02.07.2021, оставленным без изменения постановлением Девятого арбитражного апелляционного суда от 27.09.2021 и постановлением Арбитражного суда Московского округа от 15.12.2021, в удовлетворении заявления отказано. В кассационной жалобе Иванов В.В. просит об отмене судебных актов, ссылаясь на неосновательное невключение в реестр спорного требования в отсутствие конкуренции требований и достаточности конкурсной массы.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К проверке обоснованности заявленных к включению в реестр требований предъявляются критерии статей 71, 100 Федерального закона от 26.10.2002 № 127-ФЗ «О несостоятельности (банкротстве)» и они соблюдены судами в отношении спорного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Валерию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