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30.08.2021, оставленным без изменения постановлением Четвертого арбитражного апелляционного суда от 27.10.2021 и постановлением Арбитражного суда Восточно-Сибирского округа от 27.01.2022, исковые требования удовлетворены. В кассационной жалобе компания просит об отмене судебных актов, ссылаясь на игнорирование допустимой в силу Рекомендаций МИ 3115-2008 погрешности массы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превышение погрешности, допустимой в силу Рекомендаций МИ 3115-2008, выявлено истцом при контрольном взвешивании груза тем же способом, что и на станции отправления – на весах в движении, и зафиксировано актом общей формы и коммерческим актом, поэтому признали факт вменяемого нарушения доказанным.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«Востсибуголь»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