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03.09.2021, оставленным без изменения постановлением Одиннадцатого арбитражного апелляционного суда от 25.10.2021, в удовлетворении требования отказано. 2 Постановлением Арбитражного суда Поволжского округа от 07.02.2022 указанные судебные акты оставлены без изменения. Общество обратилось в Верховный Суд Российской Федерации с кассационной жалобой, в которой просит названные судебные акты отменить, считая их незаконными и необоснованными.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Частью 2 статьи 14.6 Кодекса Российской Федерации об административных правонарушениях установлена ответственность за занижение регулируемых государством цен (тарифов, расценок, ставок и тому подобного) на продукцию, товары либо услуги, предельных цен (тарифов, расценок, ставок и тому подобного), занижение установленных надбавок (наценок) к ценам (тарифам, расценкам, ставкам и тому подобному), нарушение установленного порядка регулирования цен (тарифов, расценок, ставок и тому подобного), а равно иное нарушение установленного порядка ценообразования. Оценив представленные доказательства, руководствуясь положениями Федерального закона от 26.03.2003 № 35-ФЗ «Об электроэнергетике», Правил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сетям, утвержденных постановлением Правительства Российской Федерации от 27.12.2004 № 861, суды пришли к выводу о наличии в действиях общества состава правонарушения, ответственность за совершение которого предусмотрена частью 2 статьи 14.6 Кодекса Российской Федерации об административных правонарушениях, установив занижение обществом размера платы за технологическое присоединение объекта капитального строительства к электрическим сетям и нарушение порядка ценообразования. 3 Процедура и срок давности привлечения к ответственности соблюдены, штраф снижен ниже низшего размера санкции нормы. Оснований для признания правонарушения малозначительным и применения статьи 2.9 Кодекса Российской Федерации об административных правонарушениях не установлено. Доводы жалобы были предметом рассмотрения судов и получили исчерпывающую оценку в обжалуемых судебных актах, не согласиться с которой оснований не имеется.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обжалуемого судебного акта в кассационном порядке.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