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Кемеровской области от 21.05.2021, оставленным без изменения постановлением Седьмого арбитражного апелляционного суда от 15.10.2021 и постановлением Арбитражного суда Западно-Сибирского округа от 19.01.2022, заявление удовлетворено. В кассационной жалобе Савиных Д.И. просит об отмене судебных актов, ссылаясь на неправильные оценку обстоятельств совершения сделки и применение последствий ее недействительности.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заключение оспариваемого соглашения заинтересованными по отношению к должнику лицами с имуществом, попадающим под взыскание по обязательствам должника, в качестве условия для недействительности сделки в силу статей 10, 168 Гражданского кодекса Российской Федерации. Приведенные в жалобе доводы о правах супруги должника на отчуждение имущества, цели соглашения и примененных последствиях признания его недействительным рассмотрены судами, учитывались при принятии судебных актов и не создают оснований для их кассационного пересмотра.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– главе крестьянского (фермерского) хозяйства Савиных Д.И.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