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26.08.2021, оставленным без изменения постановлением Девятого арбитражного апелляционного суда от 15.11.2021 и постановлением Арбитражного суда Московского округа от 11.02.2022, в удовлетворении заявления отказано в связи с тем, что приведенные заявителем основания не являются новыми для рассматриваемого дела. В кассационной жалобе компания Londonex L.P. просит о пересмотре судебных актов, ссылаясь на неправильную оценку обстоятельств, непринятие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судебных актов следует, что в качестве основания для пересмотра определения от 01.02.2021 оценивалась заявленная компанией отмена решения суда общей юрисдикции, положенного в основу пересматриваемого определения, поэтому довод о неправильной оценке обстоятельства неоснователен. В связи с отсутствием результата нового рассмотрения судом общей юрисдикции дела отсутствует и основание для иной, нежели дана в пересматриваемом определении, оценки правоотношений.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Londonex L.P.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