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20.09.2021, оставленным без изменения постановлением Пятнадцатого арбитражного 2 апелляционного суда от 06.12.2021, в удовлетворении заявленные требований отказано. Постановлением Арбитражного суда Северо-Кавказского округа от 21.02.2022 указанные судебные акты оставлены без изменения. Общество просит обжалуемые судебные акты отменить, считая их незаконными и необоснованными.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установив несоблюдение обществом обязательных требований промышленной безопасности при эксплуатации опасного производственного объекта, руководствуясь положениями Федерального закона от 21.07.1997 № 116-ФЗ «О промышленной безопасности опасных производственных объектов», суды пришли к выводу о наличии в действиях общества состава административного правонарушения, ответственность за которое предусмотрена частью 1 статьи 9.1 КоАП РФ. Порядок и срок давности привлечения к административной ответственности соблюдены, оснований для признания совершенного правонарушения малозначительным не установлено. Суды признали, что назначенное обществу наказание в пределах санкции нормы отвечает принципам разумности и справедливости, соответствует 3 тяжести совершенного правонарушения, и обеспечивает достижение целей административного наказания. Оснований для снижения размера административного наказания ниже низшего предела и замены штрафа на предупреждение не установлено. Доводы жалобы об отсутствии состава правонарушения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