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10.09.2021, оставленным без изменения постановлением Девятого арбитражного апелляционного суда от 24.11.2021, в удовлетворении заявленных требований отказано. Постановлением Арбитражного суда Московского округа от 17.02.2022 указанные судебные акты оставлены без изменения. Общество просит обжалуемые судебные акты отменить, считая их незаконными и необоснованными.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земельного участка, предоставленного для жилищного строительства, рекреационных целей и иных объектов культурно- социального назначения, не в соответствии с целевым назначением, а именно, для размещения платной парковки. Частью 1 статьи 8.8 КоАП РФ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Земельного кодекса Российской Федерации, Правил землепользования и застройки города Москвы, утвержденных постановлением Правительства Москвы от 28.03.2017 № 120-ПП, суды пришли к выводу о доказанности административным органом в действиях общества события правонарушения, ответственность за совершение которого предусмотрена частью 1 статьи 8.8 КоАП РФ. 3 Процедура и срок давности привлечения к административной ответственности соблюдены. Наказание назначено в виде штрафа в пределах санкции статьи нормы. Доводы жалобы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Ссылка общества на судебную практику в обоснование своей позиции подлежит отклонению с учетом иных фактических обстоятельств в рамках рассматриваемого спора, выводы судов не опровергает.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