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24.08.2021, оставленным без изменения постановлением Десятого арбитражного апелляционного суда от 19.10.2021 и постановлением Арбитражного суда Московского округа от 18.01.2022, в удовлетворении заявления отказано. В кассационной жалобе компания просит об отмене судебных актов, ссылаясь на нарушение норм права о доказывании и оценке доказательств и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Убытки в связи с неисполнением договоров займа от 20.04.2012 № SNK-2, от 12.05.2012 № SNK-1, от 28.05.2012 № SNK-№, от 05.11.2013 № SNK-4 должником как участником прекратившихся обществ-заемщиков предъявлены в качестве включения требования в реестр, поэтому суды правомерно оценивали их исходя из критериев статей 71, 100, 142 Федерального закона от 26.10.2002 № 127-ФЗ «О несостоятельности (банкротстве)» и судебной практике их применения и возложения на компанию обязанности доказывания обоснованности требования (статья 65 Арбитражного процессуального кодекса Российской Федерации), признанной не исполненной.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кампании Lotlane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