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пересмотре по вновь открывшимся обстоятельствам определения Арбитражного суда Владимирской области от 05.03.2018 об отказе в признании незаконным действия (бездействия) конкурсного управляющего должником. Определением Арбитражного суда Владимирской области от 16.06.2021, оставленным без изменения постановлениями Первого арбитражного апелляционного суда от 12.11.2021 и Арбитражного суда Волго-Вятского округа от 02.03.2022,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акты, заявленные требования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суды, руководствуясь положениями статьи 311 Арбитражного процессуального кодекса Российской Федерации, разъяснениями, содержащимися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исходили из того, что приводимые в нём обстоятельства не отвечали признакам вновь открывшихся, в связи с чем отказали в удовлетворении заявления. Выводы судов соответствуют нормам права, оснований их переоценки по доводам жалобы не имеется. Существенных нарушений судами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Петрову Виктору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