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30.09.2021, оставленным без изменения постановлением Пятого арбитражного апелляционного суда от 17.12.2021 и постановлением Арбитражного суда Дальневосточного округа от 22.02.2022, в удовлетворении исковых требований отказано. В кассационной жалобе, поданной в Верховный Суд Российской Федерации, АО «КРДВ»,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29.01.2020 АО «КРДВ» (заказчик) и ООО «Динамика» (подрядчик) на основании протокола единой комиссии от 14.01.2020 № 19-66/9 в соответствии с положениями Федерального закона от 18.07.2011 № 223-ФЗ «О закупках товаров, работ, услуг отдельными видами юридических лиц» (далее - Закон о закупках) заключен договор подряда № 0000000035019Р040002/6/20/С. В соответствии с условиями договора работы должны быть завершены в полном объеме не позднее 12.10.2020, стоимость работ составляет 234 245 570 рублей. Заказчик в одностороннем порядке отказался от исполнения договора, направив подрядчику уведомление от 31.08.2020 № 001-8803. Решением Арбитражного суда Приморского края от 10.12.2020 по делу № А51-16296/2020 односторонний отказ со стороны заказчика признан правомерным, поскольку окончание работ по договору к сроку невозможно. Письмом от 27.08.2020 № 001-8728 АО «КРДВ» обратилось к ООО «Динамика» с требованием о возврате переданной ранее документации в связи с расторжением договора. Решением Арбитражного суда Приморского края от 04.02.2020 по делу № А51-20318/2020 на ООО «Динамика» возложена обязанность возвратить АО «КРДВ» проектную, рабочую документацию, общий журнал работ. Неисполнение судебного акта послужило основанием для начисления неустойки за нарушение срока исполнения обязательства и обращения АО «КРДВ»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Гражданского кодекса Российской Федерации, Закона о закупках, пришли к выводу об отсутствии оснований для удовлетворения исковых требований, с чем согласился суд округа. Судебные инстанции исходили из того, что пункт 19.3.1 договора не предусматривает возможность начисления неустойки за невыполнение подрядчиком обязанности, названной в пункте 6.36 договора по передаче заказчику проектной, рабочей и исполнительной документации на выполненные работы при досрочном прекращении договора. 3 При этом суды отметили, что судебными актами по делу № А51-20318/2020 на ООО «Динамика» возложена обязанность по передаче указанных документов, в связи с чем истец вправе обратиться в рамках указанного дела с заявлением о взыскании судебной неустойки за каждый день неисполнения ответчиком решения суда. Доводы, изложенные в кассационной жалобе, являлись предметом рассмотрения судов и получили надлежащую правовую оценку, выражают несогласие с установленными фактическими обстоятельствами дела, направлены на их переоценку, в связи с чем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«Корпорация развития Дальнего Востока и Арктики»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