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07.09.2021, оставленным без изменения постановлением Пятнадцатого арбитражного апелляционного суда от 22.11.2021, в иске отказано. Постановлением Арбитражного суда Северо-Кавказского округа от 16.02.2022 указанные судебные акты оставлены без изменения. 2 Общество просит отменить обжалуемые судебные акты, считая их незаконными и необоснованными,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 доводам жалобы таких оснований не выявлено. Оценив представленные доказательства, руководствуясь положениями статей 523, 525, 526 Гражданского кодекса Российской Федерации,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в иске отказали, признав правомерным решение заказчика об одностороннем отказе от исполнения контракта при наличии доказательств поставки предусмотренного контрактом товара с ненадлежащими качественными характеристиками и неустранением недостатков в установленный срок. Доводы жалобы были предметом исследования судов и получили исчерпывающую правовую оценку в обжалуемых судебных актах исходя из представленных сторонами доказательств, не согласиться с которой оснований не имеется. Указанные доводы направлены на переоценку доказательств и установление иных фактических обстоятельств дела, в связи с чем не могут 3 служить основанием для передачи жалобы на рассмотрение Судебной коллегии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