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26.08.2021, оставленным без изменения постановлением Десятого арбитражного апелляционного суда от 17.11.2021, в удовлетворении заявления отказано. 2 Постановлением Арбитражного суда Московского округа от 10.02.2022 указанные судебные акты оставлены без изменения. В кассационной жалобе общество просит отменить принятые по делу судебные акты как незаконные и необоснованные.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Оценив представленные доказательства, руководствуясь положениями статей 31, 82, 87, 89 Налогового кодекса Российской Федерации, статей 198, 201 Арбитражного процессуального кодекса Российской Федерации, суды отказали в удовлетворении требований, признав, что оспариваемые акты приняты в соответствии с требованиями налогового законодательства, не возлагает на общество незаконных и необоснованных обязанностей, его прав не нарушают.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