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10.09.2021, оставленным без изменения постановлением Двадцатого арбитражного апелляционного суда от 16.11.2021, заявленные требования удовлетворены частично с учетом снижения размера начисленного штрафа, с Рафикова В.В. в 2 доход соответствующего бюджета взысканы недоимка по налогу на доходы физических лиц в размере 6 005 746 рублей, пени по налогу на доходы физических лиц в размере 1 811 535,17 рублей, штрафы по налогу на доходы физических лиц в размере 129 896,7 рублей, в остальной части заявленных требований отказано. Постановлением Арбитражного суда Центрального округа от 16.02.2022 указанные судебные акты оставлены без изменения. Рафиков В.В. просит отменить обжалуемые судебные акты, считая их незаконными и необоснованными, в удовлетворении требований отказать.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41, 69, 70, 46, 209, 210, 228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удовлетворили требования налогового органа, снизив размер начисленного штрафа, установив, что спорные хозяйственные операции Рафиковым В.В. как предпринимателем не осуществлялись, и, признав 3 полученную им от организаций сумму денежных средств как подлежащий налогообложению на доходы физических лиц иной доход, не связанный с осуществлением предпринимательской деятельности.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