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31.05.2021, оставленным без изменения постановлением Двадцать первого арбитражного апелляционного суда от 16.09.2021 и постановлением Арбитражного суда Центрального округа от 11.02.2022,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заказчика при проведении электронного аукциона на оказание услуг по обеспечению слуховыми аппаратами инвалидов города Севастополя. Решением управления жалоба признана необоснованной, что послужило основанием для обращения общества в арбитражный суд. Оценив представленные в материалы дела доказательства, суды трех инстанций, руководствуясь положениями статей 6, 12, 14,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законности решения антимонопольного органа. Судебные инстанции исходили из наличия у заказчика правовых оснований для включения в аукционную документацию характеристик и требований к услуге по обеспечению товаром, которые отвечают его потребностям и необходимы для выполнения соответствующих функций. При этом заказчик, используя свое право на детализацию предмета закупки, действовал обосновано и добросовестно, преследуя цель закупки – обеспечить получателей услуги слуховыми аппаратами, необходимыми для них с учетом медицинских показаний и рекомендаций. В частности, описание слухового аппарата в аукционной документации приведено в соответствии с медицинскими показателями, необходимыми для обеспечения медицинской техникой конкретного потребителя (ребенка-инвалида). Ограничений по включению в аукционную документацию требований к услугам (товару), являющихся значимыми для заказчика, законодательством не предусмотрено. 3 Факт неотражения в аукционной документации ограничений на допуск радиоэлектронной продукции, происходящей из иностранных государств, в рассматриваемой ситуации не свидетельствует о наличии ограничивающих конкуренцию положений и связан с отсутствием описания технических характеристик слуховых аппаратов в каталоге товаров, работ, услуг. Требование о наличии у участника закупки лицензии на производство и техническое обслуживание медицинской техники соответствует положениям законодательства о лицензировании и связано с целью закупки услуги по обеспечению инвалидов медицинской техникой с последующим гарантийным обслуживанием. Данное требование относится ко всем хозяйствующим субъектам, имеющим намерение принять участие в закупке, и не привело к необоснованному ограничению количества участников.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«Легро-М»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