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23.09.2021, оставленным без изменения постановлением Одиннадцатого арбитражного апелляционного суда от 26.11.2021, общество привлечено к административной ответственности по части 3 статьи 14.43 КоАП РФ, и ему назначено наказание в виде штрафа в размере 700 000 рублей. Постановлением Арбитражного суда Поволжского округа от 16.03.2022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нарушенными нормы материального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повторного нарушения обществом требований технических регламентов при реализации продукции. Частью 1 статьи 14.43 КоАП РФ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3 За действия, предусмотренные частью 1 статьи 14.43 КоАП РФ,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Кодекса. Повторное совершение административного правонарушения, предусмотренного частью 2 настоящей статьи влечет ответственность по части 3 статьи 14.43 КоАП РФ. Оценив представленные доказательства и установив, что общество осуществляло реализацию пищевых продуктов с истекшими сроками годности, руководствуясь положениями Федерального закона от 02.01.2000 № 29-ФЗ «О качестве и безопасности пищевых продуктов», Федерального закона от 30.03.1999 № 52-ФЗ «О санитарно-эпидемиологическом благополучии населения», Федерального закона от 27.12.2002 № 184-ФЗ «О техническом регулировании», Технического регламента Таможенного союза ТР ТС 021/2011 «О безопасности пищевой продукции», утвержденного решением Комиссии Таможенного союза от 09.12.2011 № 880, суды пришли к выводу о наличии в действиях общества состава правонарушения, ответственность за совершение которого предусмотрена частью 3 статьи 14.43 КоАП РФ, признав, что действия общества создают угрозу причинения вреда здоровью потребителей. Вина общества состоит в том, что им не были приняты все необходимые и достаточные меры для надлежащего исполнения обязательных требований к сроку годности при реализации продуктов питания. Нарушений процедуры проведения проверки не выявлено. Срок давности привлечения к административной ответственности соблюден, основания для признания правонарушения малозначительным отсутствуют, административный штраф назначен в размере низшего предела санкции нормы, основания для его снижения отсутствуют. 4 Приведенные в жалобе доводы были предметом рассмотрения судов и получили надлежащую правовую оценку применительно к установленным обстоятельствам. Доводы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