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09.09.2021, оставленным без изменения постановлениями Семнадцатого арбитражного апелляционного суда от 22.11.2021 и Арбитражного суда Уральского округа от 05.03.2022, исковое требование удовлетворено. В кассационной жалобе, поданной в Верховный Суд Российской Федерации, министерство и управление ставят вопрос об отмене принятых по 2 делу судебных актов, ссылаясь на нарушение норм материального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соответствии с протоколом осмотра дорожно-транспортного происшествия транспортное средство, принадлежащее обществу, изъято и помещено на специализированную стоянку. В обоснование иска общество ссылается на то, что возврат транспортного средства осуществлен после оплаты транспортировки и хранения транспортного средства на стоянке, при этом указанные расходы обществу не возмещены. Оценив представленные в дело доказательства, руководствуясь положениями статей 131, 136 Уголовно-процессуального кодекса Российской Федерации, статьи 2 Федерального закона от 07.06.2013 № 122-ФЗ «О внесении изменений в статью 131 Уголовно-процессуального кодекса Российской Федерации», пункта 24 Положения о возмещении процессуальных издержек, связанных с производством по уголовному делу, издержек в связи с рассмотрением дела арбитражным судом, гражданского дела, административного дела, а также расходов в связи с выполнением требований Конституционного Суда Российской Федерации, утвержденного постановлением Правительства Российской Федерации от 01.12.2012 № 1240, правовой позицией Пленума Верховного Суда Российской Федерации, изложенной в пунктах 1 и 2 постановления от 19.12.2013 № 42 «О практике применения судами законодательства о процессуальных издержках по уголовным делам», суды пришли к выводу о наличии оснований для удовлетворения иска. Судебные инстанции исходили из необходимости возмещения обществу расходов за транспортировку и хранение автомобиля за счет средств федерального бюджета, поскольку изъятие транспортного средства и помещение его на специализированную стоянку проводилось в рамках следственных действий по распоряжению должностного лица. Доводы, изложенные в кассационной жалобе, являлись предметом рассмотрения судов и получили надлежащую правовую оценку, с учетом 3 установленных обстоятельств дела, не свидетельствуют о допущенной при рассмотрении дела судебной ошибке, не подтверждают существенных нарушений судами норм материального права и (или) норм процессуального права, повлиявших на исход дела, основаны на ином толковании положений действующего законодательства, и не могут служить основанием для отмены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и Главному управлению Министерства внутренних дел Российской Федерации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