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11.05.2022 направил в Верховный Суд Российской Федерации кассационную жалобу и одновременно заявил ходатайство о восстановлении пропущенного срока. Согласно части 2 статьи 2912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В силу части 2 статьи 117 Арбитражного процессуального кодекса Российской Федерации арбитражный суд восстанавливает пропущенный процессуальный срок, если признает причины пропуска уважительными. Рассмотрев ходатайство о восстановлении пропущенного срока, судья не находит оснований для его удовлетворения. Подача кассационной жалобы в арбитражный суд с соблюдением установленных законом срока и порядка ее подачи является обязанностью лица, подающего жалобу. В обоснование ходатайства заявитель ссылается на то, что протокол общего собрания собственников помещений в многоквартирном доме от 18.03.2022 о проведения ремонта лифтового оборудования за свой счет был получен заявителем только в конце апреля. Часть 1 статьи 2912 Арбитражного процессуального кодекса Российской Федерации устанавливает правило об исчислении двухмесячного срока со дня вступления в законную силу последнего обжалуемого судебного акта. Как следует из обжалуемых судебных актов, общество являлось инициатором спора и подачи кассационной жалобы. Текст постановления суда округа согласно данным Картотеки арбитражных дел своевременно размещен в сети Интернет и с этой даты был доступен для ознакомления и подготовки кассационной жалобы. Поскольку заявитель знал о состоявшемся постановлении суда округа, при той степени заботливости и разумной осмотрительности, какая от него требовалась как от добросовестного участника процесса, он имел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акта, подготовки и подачи кассационной жалобы в предусмотренный законодательством срок. 3 Позднее получение заявителем протокола общего собрания собственников помещений в многоквартирном доме не является доказательством невозможности своевременной подачи жалобы. В соответствии с частью 2 статьи 9 Арбитражного процессуального кодекса Российской Федерации лица, участвующие в деле, несут риск наступления последствий совершения или не совершения ими процессуальных действий. Необоснованное восстановление пропущенного процессуального срока может привести к нарушению принципа правовой определенности и соответствующих процессуальных гарантий. В отсутствие доказательств, свидетельствующих о наличии объективных препятствий для обращения с настоящей жалобой в порядке, установленном арбитражным процессуальным законодательством, ходатайство о восстановлении пропущенного процессуального срока удовлетворению не подлежит.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Федерации. Руководствуясь статьями 117, 184, 2912, 2915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«Управляющая компания «Тверская коммуна» о восстановлении пропущенного срока отказать, кассационную жалобу возвратить заявителю.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