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Новожиловой Анны Валерьевны в Арбитражный суд Ярославской области обратился Шафигин Данил Рамилевич с заявлением о включении в реестр требований кредиторов должника требования в размере 3 401 726 рублей 13 копеек, как обеспеченного залогом имущества должника. Определением Арбитражного суда Ярославской области от 16.07.2021 заявление удовлетворено частично; в реестр требований кредиторов должника включено требование в размере 3 391 338 рублей, как обеспеченное залогом имущества должника, с очередностью удовлетворения: 1 615 333 рубля - требование кредиторов третьей очереди; 1 776 005 рублей - требование, подлежащее учету в реестре требований кредиторов отдельно и удовлетворению после погашения основной суммы задолженности и причитающихся процентов; в остальной части производство по заявлению прекращено. 2 Постановлением Второго арбитражного апелляционного суда от 18.10.2021 принят отказ Шафигина Д.Р. от заявленного требования в размере 613 981 рубля, в указанной части определение суда первой инстанции отменено и производство по делу в этой части прекращено, в остальной части определение суда первой инстанции оставлено без изменения. Арбитражный суд Волго-Вятского округа постановлением от 14.02.2022 указанные судебные акты оставил без изменения. Новожилова А.В. обратилась в Судебную коллегию Верховного Суда Российской Федерации с кассационной жалобой на принятые по спору судебные акты в части размера просроченных процентов и неустойки, ссылаясь на существенные нарушения норм права. Шафигиным Д.Р. представлен отзыв на кассационную жалобу, в котором кредитор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 на жалобу не установлено. Исследовав и оценив представленные в материалы обособленного спора доказательства, руководствуясь положениями статьи 69 Арбитражного процессуального кодекса Российской Федерации, статьями 16, 71, 100, 138 Федерального закона от 26.10.2002 № 127-ФЗ «О несостоятельности (банкротстве)», установив основание возникновения задолженности, подтвержденной вступившим в законную силу судебным актом суда общей юрисдикции, суды признали заявленное требование обоснованным и подлежащим включению в реестр требований кредиторов третьей очереди как обеспеченное залогом имущества должника. Доводы, изложенные в кассационной жалобе, о снижении суммы процентов за пользование кредитными денежными средствами и подлежащей взысканию неустойки на основании статьи 333 Гражданского кодекса Российской Федерации приводились при рассмотрении спора, были 3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Новожиловой Анне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