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01.07.2021, оставленным без изменения постановлением Девятого арбитражного апелляционного суда от 13.09.2021 и постановлением Арбитражного суда Московского округа от 18.01.2022, первоначальные исковые требования удовлетворены,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права, 2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Как следует из судебных актов, компания (генподрядчик) и общество (подрядчик) заключили договор строительного подряда от 01.03.2016 № КС-01/16 в редакции дополнительных соглашений (далее – договор). Первоначальные исковые требования мотивированы превышением суммы перечисленной компанией оплаты по договору над стоимостью выполненных обществом работ и ненадлежащим исполнением последним обязательств по оплате оказанных компанией услуг по организации строительства. В обоснование встречного иска общество сослалось на наличие у компании задолженности по договору в виде разницы в стоимости работ за период с апреля по июнь 2016 года (без изменения объема и состава работ) в связи с применением индексов цен на март 2016 года.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договора, руководствуясь статьями 309, 310, 421, 431, 702, 708, 709, 711, 720, 746, 753, 779, 781 Гражданского кодекса Российской Федерации, установив, что договор исполнен сторонами; сумма перечисленных компанией денежных средств в счет оплаты по договору превышает стоимость выполненных обществом работ; компания оказала обществу услуги по организации строительства, которые в полном объеме последним не оплачены, суды первой и апелляционной инстанций пришли к выводу о наличии оснований для удовлетворения первоначальных исковых требований. Отказывая в удовлетворении встречного иска, суды исходили из несоответствия произведенного обществом перерасчета стоимости выполненных и принятых работ условиям договора и требованиям закона, а также пропуска обществом срока исковой давности, о чем было заявлено компанией.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3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«Капиталстрой»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