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Новожиловой Анны Валерьевны в Арбитражный суд Ярославской области обратился Самойличенко Святослав Анатольевич с заявлением о включении в реестр требований кредиторов должника требования в сумме 3 722 709 рублей 43 копеек, как обеспеченного залогом имущества должника. Определением Арбитражного суда Ярославской области от 16.07.2021 заявление удовлетворено. Постановлением Второго арбитражного апелляционного суда от 19.10.2021 принят отказ Самойличенко С.А. от заявленного требования в размере 671 960 рублей 95 копеек, в указанной части определение суда первой инстанции отменено и производство по делу в этой части прекращено, в остальной части определение суда первой инстанции оставлено без изменения. Арбитражный суд Волго-Вятского округа постановлением от 18.01.2022 указанные судебные акты оставил без изменения. 2 Новожилова А.В. обратилась в Судебную коллегию Верховного Суда Российской Федерации с кассационной жалобой на принятые по спору судебные акты в части размера просроченных процентов и неустойки, ссылаясь на существенные нарушения норм права. Самойличенко С.А. представлен отзыв на кассационную жалобу, в котором кредитор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Исследовав и оценив представленные в материалы обособленного спора доказательства, руководствуясь положениями статьи 69 Арбитражного процессуального кодекса Российской Федерации, статьями 16, 71, 100, 138 Федерального закона от 26.10.2002 № 127-ФЗ «О несостоятельности (банкротстве)», установив основание возникновения задолженности, подтвержденной вступившим в законную силу судебным актом суда общей юрисдикции, суды признали заявленное требование обоснованным и подлежащим включению в реестр требований кредиторов третьей очереди как обеспеченное залогом имущества должника. Доводы, изложенные в кассационной жалобе, о снижении суммы процентов за пользование кредитными денежными средствами и подлежащей взысканию неустойки на основании статьи 333 Гражданского кодекса Российской Федерации приводились при рассмотрении спора в судах,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Новожиловой Анне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