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«Научно-производственная компания «РосХимПром» (далее – ООО «НПК «РосХимПром») обратилось в Арбитражный суд города Москвы с иском к обществу с ограниченной ответственностью (далее – ООО) «Луидор-Альянс» об обязании заменить автомобиль 3010GD VIN: Z783010GDH0038760 на аналогичный, соответствующий по качеству, а также требованиям договора купли-продажи и передать его истцу. Решением Арбитражного суда города Москвы от 16.06.2021, оставленным без изменения постановлением Девятого арбитражного апелляционного суда от 22.09.2021 и постановлением Арбитражного суда Московского округа от 18.01.2022,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указывает, что проданный автомобиль обладал существенными недостатками, ввиду чего у истца имеется безусловное право на обращение в суд с настоящими требованиями.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16.06.2017 между ООО «Луидор-Альянс» (продавец) и ООО «Элемент Лизинг» (покупатель), а также ООО «НПК «РосХимПром» (владелец) заключен договор купли-продажи № АХ_ЭЛ/Мск- 72792/КП (далее - договор), по которому продавцом покупателю был реализован автомобиль 3010GD VIN: Z783010GDH0038760 (далее - автомобиль), который впоследствии был передан владельцу на основании договора лизинга от 16.06.2017 № АХ_ЭЛ/Мск-72792/ДЛ. В обоснование требований истец ссылается на то, что в течение гарантийного срока эксплуатации автомобиля выявлялись существенные недостатки, автомобиль не мог эксплуатироваться (использоваться) истцом по не зависящим от него причинам и обстоятельствам по прямому назначению без ограничений в связи с риском и угрозой для жизни вовремя движения автомобиля, как источника повышенной опасности; автомобиль неоднократно подлежал ремонту в рамках гарантийных обязательств производителя в целях устранения недостатков и/или недостатков (дефектов/неисправностей), появляющихся вновь после их устранения, а также возникающих повторно. Истцом после расторжения договора финансовой аренды (лизинга) спорное транспортное средство было приобретено в собственность по договору купли- продажи. ООО «НПК «РосХимПром» полагает, что у него в отношении автомобиля возникло право потребовать замену транспортного средства в соответствии с пунктом 2 статьи 475 Гражданского кодекса Российской Федерации (далее – Гражданский кодекс). Исследовав и оценив по правилам статьи 71 АПК РФ представленные доказательства, руководствуясь статьями 469, 475, 476,477 Гражданского кодекса, положениями Федерального закона от 29.10.1998 № 164-ФЗ «О финансовой аренде (лизинге)», суды отказали в удовлетворении требований, установив, что спорный автомобиль находился на гарантийном ремонте только в течение первых 14 месяцев гарантийного срока, после чего в течение двух лет эксплуатировался без предъявления требований о его замене. 3 Более того, поскольку с 10.09.2018 спорное транспортное средство не проходило регламентное техническое обслуживание, то на момент заключения договора купли-продажи от 31.10.2019 АХ_ЭЛ/Мск-72792/ДЛ_ДВ гарантийные обязательства завода-изготовителя утратили силу (пункт 9 гарантийных обязательств изготовителя и порядок их исполнения. Сервисная книжка). Соответственно, ООО «Элемент Лизинг» при продаже транспортного средства не могло передать требования по гарантийным обязательствам к первоначальному продавцу (ответчику). Суды пришли также к выводу и том, что истцом не представлены доказательства, которые могли бы быть приняты в качестве безусловного и достаточного подтверждения наличия у ответчика обязанности по замене товара ненадлежащего качества.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«Научно-производственная компания «РосХимПром»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