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30.06.2021 завершена процедура реализации имущества индивидуального предпринимателя Хисаметдинова Рината Раисовича, должник освобожден от дальнейшего исполнения требований кредиторов, за исключением требований в общем размере 567 600 рублей: перед Банком «ВТБ» (ПАО) в размере 516 000 рублей, Аксеновой Татьяной Алексеевной – 23 124 рублей, МРИ ФНС № 3 по ХМАО-Югре – 28 476 рублей. Постановлением Восьмого арбитражного апелляционного суда от 21.09.2021 определение суда первой инстанции оставлено без изменения. Арбитражный суд Западно-Сибирского округа постановлением от 19.01.2022 указанные судебные акты оставил без изменения. Индивидуальный предприниматель Хисаметдинов Ринат Раисович обратился в Судебную коллегию Верховного Суда Российской Федерации с кассационной жалобой на принятые судебные акты в части неприменения 2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статьей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пришли к выводу о неприменении к должнику правила об освобождении от дальнейшего исполнения требований в отношении конкретных кредиторов в связи с наличием достаточных доказательств, подтверждающих недобросовестность поведения должника.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Хисаметдинову Ринату Раисовичу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