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Веселов А.О. обратился в суд с жалобой на действия (бездействие) арбитражных управляющих Легалова Евгения Владимировича, Денисова Романа Вячеславовоча и Барановой Елены Сергеевны, выразившееся в не обращении в арбитражный суд с заявлением о признании недействительным соглашения об урегулировании претензий от 17.11.2016, заключенного должником и компанией SSP Saving Shipping Projects Sagl (далее – сделка), применении последствий недействительности сделки. Кроме того, кредитор Веселов А.О. просил взыскать солидарно с Легалова Е.В., Денисова Р.В., Барановой Е.С. убытки в сумме 2 300 000 Евро. Определением Арбитражного суда Пермского края от 16.07.2021, оставленным без изменения постановлениями Семнадцатого арбитражного апелляционного суда от 10.10.2021 и Арбитражного суда Уральского округа от 25.01.2022,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61.9, 99, 129 Федерального закона от 26.10.2002 № 127-ФЗ «О несостоятельности (банкротстве)», применительно к установленным фактическим обстоятельствам спора пришли к выводам об отсутствии оснований для признания жалобы заявителя обоснованной и взыскания убытков с арбитражных управляющих, проанализировавших обстоятельства совершения должником сделки и признавших неразумным её оспаривание.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Веселову Александру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