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банк обратился в суд с заявлением о признании требования в размере 180 185 391 рубль 60 копеек обоснованным и подлежащим удовлетворению в очерёдности, предшествующей распределению ликвидационной квоты. Определением Арбитражного суда Ростовской области от 28.09.2021, оставленным без изменения постановлениями Пятнадцатого арбитражного апелляционного суда от 01.11.2021 и Арбитражного суда Северо-Кавказского округа от 24.01.2022,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части 1 статьи 150 Арбитражного процессуального кодекса Российской Федерации, исходили из того, что ранее принятым по настоящему делу судебным актом банку отказано во включении в реестр тождественного требования по предмету, основаниям и сумме.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«АктивКапитал Банк» – государственной корпорации «Агентство по страхованию вкладов»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