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изготовлении определения Верховного Суда Российской Федерации от 16.05.2022 о возвращении кассационной жалобы допущены опечатки в его вводной, описательной и резолютивной частях при указании заявителя кассационной жалобы, которые подлежат исправлению в порядке части 3 статьи 179 Арбитражного процессуального кодекса Российской Федерации. Руководствуясь статьями 179, 184,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опечатки, допущенные в вводной, описательной и резолютивной частях определения от 16.05.2022 № 304-ЭС22-6734(2) о возвращении кассационной жалобы. Вместо указанного заявителя кассационной жалобы – Байда Алексей Сергеевич читать – Шалагинов Алексей Александрович.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