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12.08.2021, оставленным без изменения постановлением Пятнадцатого арбитражного апелляционного суда от 11.10.2021 и постановлением Арбитражного суда Северо-Кавказского округа от 02.02.2022, в удовлетворении искового заявления общества отказано, встречный иск учреждения удовлетворен частично, с общества в пользу учреждения взыскано 132 824 рубля 44 копейки неустойки. В удовлетворении остальной части встречного искового заявления отказано. 2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04.12.2020 учреждением (заказчик) и обществом (исполнитель) заключен контракт № 0358300312020000025 на оказание услуг по охране объектов поликлиники в 2021 году. Неисполнение обязательств по оплате оказанных услуг за январь и февраль 2021 года в размере 172 175 рублей 56 копеек послужило основанием для обращения общества в арбитражный суд. В процессе производства по делу учреждением заявлен встречный иск о взыскании с общества штрафных санкций в размере 305 000 рублей. Рассматривая спор, суды первой и апелляционной инстанций, исследовав и оценив представленные в материалы дела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Закона Российской Федерации от 11.03.1992 № 2487-1 «О частной детективной и охранной деятельности в Российской Федерации», Положением о лицензировании частной охранной деятельности, утвержденным постановлением Правительства Российской Федерации от 23.06.2011 № 498 «О некоторых вопросах осуществления частной детективной (сыскной) и частной охранной деятельности», пришли к выводу о наличии у учреждения обязанности по оплате оказанных обществом услуг. Установив ненадлежащее оказание ООО «ЧОО «Искандер» услуг по охране объектов поликлиники, отсутствие оплаты оказанных услуг, а также 305 фактов выявленных нарушений, произведя зачет встречных требований, суды взыскали с общества в пользу учреждения 132 824 рубля 44 копейки. 3 Суды указали, что нарушения ООО ЧОО «Искандер», допущенные при оказании охранных услуг по контракту № 0358300312020000025, установлены вступившим в законную силу судебным актом по делу № А53-5372/2021. Доводы общества, изложенные в жалобе, являлись предметом рассмотрения судов и им дана надлежащая правовая оценка. Указанные доводы не опровергают выводы судов, не подтверждают существенных нарушений норм материального и процессуального права, повлиявших на исход дела, основаны на ином толковании законодательства,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частная охранная организация «Искандер»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