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06.07.2021, оставленным без изменения постановлением Седьмого арбитражного апелляционного суда от 20.10.2021, в удовлетворении требования отказано. Постановлением Арбитражного суда Западно-Сибирского округа от 20.01.2022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необоснованными, заявленные требования удовлетворить.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3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Штраф назначен ниже низшего размера санкции нормы. Оснований для применения положений статьи 2.9 и статьи 4.1.1 Кодекса Российской Федерации об административных правонарушениях судами не установлено. Ссылка на иную судебную практику подлежит отклонению как заявленная без учета положений законодательства, действующего на момент 4 совершения обществом правонарушения, а также положений статьи 30.17 Кодекса Российской Федерации об административных правонарушениях и принципа недопустимости поворота к худшему при пересмотре вступившего в законную силу постановления по делу об административном правонарушении. Нарушения прав и законных интересов общества с учетом вступления в силе Федерального закона от 26.03.2022 № 70-ФЗ «О внесении изменений в Кодекс Российской Федерации об административных правонарушениях» не выявлено.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