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31.08.2021, оставленным без изменения постановлением Девятого арбитражного апелляционного суда от 22.11.2021, в иске отказано. Постановлением Арбитражного суда Московского округа от 14.02.2022 указанные судебные акты оставлены без изменения. Общество просит обжалуемые судебные акты отменить, считая их незаконными и необоснованными. 2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10, 15, 307, 927, 929, 931, 942, 943, 1064 Гражданского кодекса Российской Федерации, статьи 9 Закона Российской Федерации от 27.11.1992 № 4015-1 «Об организации страхового дела в Российской Федерации», принимая во внимание выводы судебной экспертизы, суды, установив, что размер ущерба, причиненного обществу в результате страхового случая, составляет 6 083 038 рублей 32 копейки и страховщиком представлены доказательства выплаты страхового возмещения в указанном размере, пришли к выводу об отсутствии оснований для удовлетворения исковых требований. Доводы жалобы были предметом исследования судов и получили исчерпывающую правовую оценку в обжалуемых судебных актах с учетом соблюдения порядка проведения экспертизы, не согласиться с которой оснований не имеется. Заявитель не доказал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