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25.05.2021 в удовлетворении иска отказано. Постановлением Тринадцатого арбитражного апелляционного суда от 03.09.2021 решение суда первой инстанции отменено, иск удовлетворен. Постановлением Арбитражного суда Северо-Западного округа от 13.01.2022 постановление суда апелляционной инстанции отменено, в удовлетворении иска отказано. В кассационной жалобе, поданной в Верховный Суд Российской Федерации, фонд просит отменить решение суда первой инстанции, постановление суда округа как принятые с нарушением норм материального права и оставить в силе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спорные денежные средства перечислены фондом в рамках договорных отношений с обществом, руководствуясь статьей 1102 Гражданского кодекса Российской Федерации, суд первой инстанции пришел к выводу об отсутствии на стороне общества неосновательного обогащения и отказал в удовлетворении иска. Суд округа поддержал выводы суда первой инстанции, отметив, что доказательств расторжения спорного договора на момент обращения с иском фондом не представлено. Доводы кассационной жалобы не опровергают выводы судов первой и кассационной инстанций, не подтверждают существенных нарушений названными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благотворительного фонда «Содействие – ХХI век»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