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25.05.2021 иск удовлетворен. Постановлением Четвертого арбитражного апелляционного суда от 13.10.2021, оставленным без изменения постановлением Арбитражного суда Восточно-Сибирского округа от 27.01.2022, решение отменено, в удовлетворении иска отказано вследствие пропуска срока исковой давности. В кассационной жалобе общество «Модум-Транс» просит об отмене судебных актов апелляционного и окружного судов, ссылаясь на нарушение в применении норм права об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определил характер правоотношений сторон и применимый к возникающим из них спорам срок исковой давности в соответствии со статьей 2 Федерального закона от 10.01.2003 № 18-ФЗ «Устав железнодорожного транспорта Российской Федерации» и пунктом 3 статьи 797 Гражданского кодекса Российской Федерации. Иная оценка правоотношений сторон, заложенная в жалобе,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«Модум-Транс»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"Модум-Транс" (подробнее) Ответчики: АО ХОЛДИНГОВАЯ КОМПАНИЯ "ЯКУТУГОЛЬ"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