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13.08.2021, оставленным без изменения постановлением Шестнадцатого арбитражного апелляционного суда от 30.09.2021, производство по делу в части требования о прекращении производства по делу об административном правонарушении прекращено, оспариваемое постановление по делу об административном правонарушении изменено в части размера назначенного наказания, размера штрафа снижен до 150 000 рублей. Постановлением Арбитражного суда Северо-Кавказского округа от 31.01.2022 указанные судебные акты оставлены без изменения. Общество в кассационной жалобе просит состоявшиеся по делу судебные акты отменить, считая их незаконными и необоснованными, заявленные требования удовлетворить.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грубым нарушением лицензионных требований. Оценив представленные доказательства, руководствуясь положениями статей 161, 162 Жилищного кодекса Российской Федерации, подпункта «д» пункта 4(1), подпункта «б» пункта 3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суды пришли к выводу о наличии в действиях общества состава правонарушения, ответственность за которое предусмотрена частью 3 статьи 14.13 Кодекса Российской Федерации об административных 3 правонарушениях, установив факт осуществления обществом деятельности по управлению многоквартирным домом при наличии подтвержденной вступившим в законную силу судебным актом задолженности за коммунальный ресурс (электрическая энергия), потребленный при содержании общего имущества в многоквартирных домах, находящихся в управлении общества, в размере, превышающем 2 среднемесячные величины обязательств по оплате по договору энергоснабжения. Суды установили, что процедура и срок давности привлечения к ответственности соблюдены, доказательств прекращения противоправного деяния на момент выявления правонарушения не представлено, оснований для применения статьи 2.9 Кодекса Российской Федерации об административных правонарушениях не выявлено. Штраф снижен судом ниже низшего размера санкции нормы.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