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15.03.2021, оставленным без изменения постановлением Пятнадцатого арбитражного апелляционного суда от 19.10.2021, в удовлетворении требования отказано. 2 Постановлением Арбитражного суда Северо-Кавказского округа от 04.02.2022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привлечения к ответственности послужили выводы таможенного органа о заявлении обществом при таможенном декларировании товара недостоверных сведений о его таможенной стоимости, послуживших основанием для занижения размера подлежащих внесению таможенных платежей.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3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1, 2, 10, 38, 39, 40, 61, 444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установив, что сведения о транспортной составляющей в структуре заявленной декларантом таможенной стоимости товара не основаны на количественно определяемой и документально подтвержденной информации.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4.1.1 Кодекса Российской Федерации об административных правонарушениях не имеется. При установленных судами обстоятельствах, в том числе, связанных с наличием вступившего в законную силу судебного акта, которым признано обоснованным определение таможенным органом таможенной стоимости спорного товара и структуры таможенных платежей, обществу отказано в признании недействительным решения таможенного органа о внесении изменений (дополнений) в сведения, заявленные в декларации на товары, оснований для иных выводов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4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