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«Солид-Лизинг» (далее – Общество) обратилось в Арбитражный суд города Москвы с иском к ФИО1 о взыскании 35 043 898 рубле убытков. К участию в деле в качестве третьего лица, не заявляющего самостоятельные требования относительно предмета спора, привлечен ФИО2 Решением Арбитражного суда города Москвы от 21.04.2021 требования удовлетворены. Определением от 29.07.2021 Девятый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арбитражном суде первой инстанции. Постановлением Девятого арбитражного апелляционного суда от 13.10.2021, оставленным без изменения постановлением Арбитражного суда Московского округа от 27.01.2022, решение от 21.04.2021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В обоснование доводов жалобы заявитель указывает, что Общество профинансировало несуществующий предмет лизинга, а ответчик, являясь руководителем юридического лица, не предпринял при этом никаких действий.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12.05.2005 по 26.11.2015 ответчик исполнял обязанности единоличного исполнительного органа Общества. Между ООО «реВендинг» (продавец) и Обществом (покупатель) были заключены ряд договоров купли-продажи на поставку товара (торговые автоматы) с последующей передачей лизингополучателю – ООО «Столичная вендинговая компания». В период с 28.12.2016 по 25.08.2017 Инспекцией Федеральной налоговой службы № 14 по городу Москве (далее – Инспекция) проведена выездная проверка истца по вопросам правильности исчисления и уплаты налогов и сборов за период с 01.01.2014 по 31.12.2015. В ходе проверки налоговый орган пришел к выводу о нереальности хозяйственных операций по договорам истца с продавцом, поскольку последний фактически реальной хозяйственной деятельности не осуществлял, являлся «фирмой-однодневкой», доначислил налог на прибыль организаций, пени, штрафы, что нашло отражение решении Инспекции от 28.02.2018 № 1832. Указанное решение налогового органа было предметом судебного контроля в рамках дела № А40-126098/2018. Вступившим в законную силу решением Арбитражного суда города Москвы от 20.12.2018, в удовлетворении требования Общества о признании недействительным решения от 28.02.2018 № 1832 о привлечении к ответственности за совершение налогового правонарушения отказано.При этом суды установили, что истец не предпринял никаких мер для установления правоспособности и деловой репутации продавца, что свидетельствует о недостаточном проявлении должной степени осмотрительности при выборе контрагента для поставки товара. Общество в обоснование требований по настоящему делу указывает на наличие оснований для вывода о недобросовестности и (или) неразумности действий (бездействия) ответчика, повлекших неблагоприятные последствия для юридического лица.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Удовлетворяя иск, суд первой инстанции исходил из того, что ответчик не предпринял никаких мер для установления правоспособности и деловой репутации продавца, что свидетельствует о недостаточном проявлении должной степени осмотрительности, добросовестности и разумности при заключении договоров купли-продажи имущества.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Апелляционным судом принято во внимание, что ответчик ранее являлся не только генеральным директором Общества, но и его учредителем. Впоследствии ответчик продал свою долю и остался исключительно в должности единоличного исполнительного органа, перейдя на работу в государственное унитарное предприятие «Дирекция гаражного строительства г. Москвы», которое являлось его основным местом работы. Апелляционным судом учтены обстоятельства выдачи доверенности с широким кругом полномочий финансовому директору Общества ФИО2, который подписывал практически все спорные договоры, а также акт приема-передачи к договору от 15.11.2013. Судом также приняты во внимание пояснения ответчика, что ранее Общество имело уже договорные отношения с ООО «реВендинг» и совершало аналогичные сделки. В связи с этим ответчик не мог знать, что спорный контрагент не вел реальной хозяйственной деятельности. Также в период работы ответчика на посту генерального директора Общество заключало договоры с такими поставщиками, как ООО «Сиба Вендинг» и ООО «Брике Технолоджис», которые добросовестно выполняли договорные обязательства, что отражено в решении налогового органа от 28.02.2018 № 1832. Суд апелляционной инстанции пришел к выводу, что действия ответчика не выходили за пределы обычного делового (предпринимательского) риска. Данных о том, что ответчик действовал умышленно в целях причинения убытков Обществу, вопреки интересам Общества, вступил в сговор с контрагентами по сделкам либо был аффилирован по отношению к ним,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«Солид-Лизинг»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"Солид-Лизинг"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