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30.08.2021, оставленным без изменения постановлением Одиннадцатого арбитражного апелляционного суда от 27.10.2021, в удовлетворении требования отказано. Постановлением Арбитражного суда Поволжского округа от 31.01.2022 указанные судебные акты оставлены без изменения. Общество просит отменить обжалуемые судебные акты, считая их незаконными и необоснованными, заявленные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169, 171, 172, 247, 248, 252 Налогового кодекса Российской Федерации, суды отказали в удовлетворении требования, пришли к выводу об обоснованном доначислении обществу недоимки по налогам, начислении соответствующих сумм пени и штрафа. При этом суды пришли к выводу, что произведенный налогоплательщиком на объекте основных средств комплекс работ относится к работам по реконструкции, а также не учли расходы в виде арендной платы за 3 имущество, которое не используется в производственной деятельности налогоплательщика и к ней не относится.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