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31.08.2021, оставленным без изменения постановлением Девятого арбитражного 2 апелляционного суда от 25.11.2021, в удовлетворении заявленных требований отказано. Постановлением Арбитражного суда Московского округа от 10.03.2022 указанные судебные акты оставлены без изменения. Общество в кассационной жалобе просит принятые по делу судебные акты отменить, считая их незаконными и необоснованными. При изучении доводов кассационной жалобы и принятых по делу судебных актов оснований для удовлетворения жалобы не установлено. Как следует из судебных актов, в соответствии с требованием антимонопольного органа обществу необходимо было в двенадцатидневный срок со дня получения запроса антимонопольного органа представить сведения об осуществлении (не осуществлении) обществом видов деятельности, имеющих стратегическое значение для обороны и безопасности государства, а также сведений о наличии (отсутствии) у общества лицензий, документов (разрешений, сертификатов и т.д.) и (или) иных прав на осуществление стратегических видов деятельности. Частью 3 статьи 19.8.2 Кодекса Российской Федерации об административных правонарушениях установлена ответственность за непредставление в федеральный орган исполнительной власти, уполномоченный на выполнение функций по контролю за осуществлением иностранных инвестиций в Российской Федерации, сведений (информации), предусмотренных законодательством об иностранных инвестициях на территории Российской Федерации, в том числе непредставление сведений (информации) по требованию указанного органа в установленный им срок, за исключением случаев, предусмотренных частями 1 и 2 настоящей статьи, либо представление в указанный орган заведомо недостоверных сведений (информации) Оценив представленные доказательства и признав, что в установленный срок требование антимонопольного органа не исполнено, руководствуясь положениями статьи 13 Федерального закона от 29.04.2008 № 57-ФЗ «О 3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государства», суды пришли к выводу о том, что общество совершило правонарушение, ответственность за которое предусмотрена частью 3 статьи 19.8.2 Кодекса Российской Федерации об административных правонарушениях. Судами установлено, что процедура и срок давности привлечения к административной ответственности соблюдены, основания для признания правонарушения малозначительным и применения статьи 2.9 Кодекса Российской Федерации об административных правонарушениях отсутствуют.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 с учетом установленных обстоятельств, свидетельствующих об отсутствии доказательств направления ответа на запрос в установленный срок в установленном порядке, а также надлежащего уведомления общества обо всех процессуальных действиях.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