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последний обратился в Арбитражный суд города Москвы с заявлениями об исключении имущества из конкурсной массы. Определением суда первой инстанции от 24.05.2019, оставленным без изменения постановлениями судов апелляционной инстанции от 18.07.2019 и округа от 10.10.2019, из конкурсной массы должника исключены земельный участок и расположенный на нем жилой дом. В кассационной жалобе, поданной в Верховный Суд Российской Федерации, ФИО1 просит отменить названные судебные акты в связи с существенными нарушениями судами норм права. Изучив обжалуемые судебные акты, судья не находит оснований для передачи кассационной жалобы на рассмотрение Судебной коллегии Верховного Суда Российской Федерации. Исключая имущество из конкурсной массы должника, суды первой и апелляционной инстанций, с выводами которых согласился суд округа, руководствовались статьей 213.25 Федерального закона от 26.10.2002 № 127-ФЗ «О несостоятельности (банкротстве)», статьей 446 Гражданского процессуального кодекса Российской Федерации и исходили из наличия иммунитета на спорное имущество как единственное пригодное для проживания должника и его семьи жилье. Изложенные в жалобе доводы, которые сводятся к установлению иных обстоятельств по спору, не подтверждают существенных нарушений судами норм права, рассматривались ими и получили соответствующую оценку.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Истцы: ИФНС №34 по г. Москве (подробнее) Иные лица: Ассоциация "РСО ПАУ" (подробнее) ООО БЕСТСЕЛЛЕР (подробнее) ООО ИЗДАТЕЛЬСТВО АСТ (подробнее) ООО ЛИТПРОМ (подробнее) ООО Полиграфиздат (подробнее) ООО Релиз Медиа Сочи (подробнее) ФГУП "МЕЖДУНАРОДНОЕ ИНФОРМАЦИОННОЕ АГЕНТСТВО "РОССИЯ СЕГОДНЯ" (подробнее) Судьи дела: Капкаев Д.В.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