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08.06.2021, оставленным без изменения постановлением Пятнадцатого арбитражного апелляционного суда от 12.10.2021, в удовлетворении заявления отказано. Постановлением Арбитражного суда Северо-Кавкзского округа от 23.01.2022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пунктом 1 статьи 30.3 Кодекса Российской Федерации об административных правонарушениях, срока обращения в суд и отсутствием оснований для его восстановления. При этом суды установили, что постановление по делу об административном правонарушении направлено по юридическому адресу общества, отправление возвращено после неудачных попыток вручения, 3 порядок доставки почтовой корреспонденцией соблюден. Доказательств нарушения Правил оказания услуг почтовой связи, утвержденных приказом Министерства связи и массовых коммуникаций Российской Федерации от 31.07.2014 № 234 (в действующей в спорный момент редакции) не представлено. Приводимые обществом причины несвоевременного обращения в суд с настоящим заявлением были рассмотрены судами и признаны неуважительными с учетом установленных обстоятельств, связанных с необеспечением обществом получения почтовой корреспонденции по адресу регистрации. Указанные выводы судов в жалобе не опровергнуты.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