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28.05.2021 (с учетом определения об исправлении опечатки от 25.11.2021), оставленным без изменения постановлением Двадцатого арбитражного апелляционного суда от 25.08.2021, оспариваемое решение признано недействительным в части доначисления НДС в сумме 16 154 692,23 рублей, начисления пени в сумме 3 753 892,06 рублей, штрафа 3 852 759,49 рублей; доначисления налога на прибыль организаций в сумме 7 155 447 рублей, начисления пени по налогу на прибыль организаций 1 467 522,29 рублей, штрафа по налогу на прибыль организаций 1 381 656,76 рублей, в удовлетворении остальной части заявленных требования отказано. Постановлением Арбитражного суда Центрального округа от 21.01.2022 указанные судебные акты оставлены без изменения. Общество просит отменить обжалуемые судебные акты в части отказа в удовлетворении заявленных требований, считая их незаконными и необоснованными в указанной части, исключить из мотивировочной части решения суда первой инстанции выводы о взаимозависимости и подконтрольности обществу организаций ООО «Шиловский комбинат», ООО «Пульс», и согласованности совместных действий общества и данных организаций, направленных исключительно на получение необоснованной налоговой выгоды в виде уклонения от уплаты налога на прибыль и НДС посредством сокрытия реального дохода (выручки) от реализации конечным покупателям, а также о согласованности действий ООО «Шиловский комбинат», ООО «Пульс», ООО «Лотос». 3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169, 171, 172, 247, 248, 252 Налогового кодекса Российской Федерации, с учетом разъяснений Пленума Высшего Арбитражного Суда Российской Федерации, изложенных в постановлении от 12.10.2006 № 53 «Об оценке арбитражными судами обоснованности получения налогоплательщиком налоговой выгоды», суды отказали в удовлетворении требований в оспариваемой части, пришли к выводу об обоснованном доначислении обществу недоимки по налогам, начислении соответствующих сумм пени и штрафа. При этом суды признали, что общество создало формальный документооборот по взаимоотношениям в рамках договоров комиссии с взаимозависимыми и подконтрольными ему лицами, самостоятельно осуществляло производство продукции и ее дальнейшую реализацию, а не деятельность в рамках договоров комиссии. Доводы жалобы были предметом исследования судов и получили исчерпывающую правовую оценку в обжалуемых судебных актах с учетом содержащихся в оспариваемом решении налогового органа выводах; при этом 4 налоговый орган не может быть лишен возможности документально опровергать приведенные в обоснование недействительности решения налогового органа доводы налогоплательщика. Приведенные в жалобе доводы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