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15.06.2021, оставленным без изменения постановлением Седьмого арбитражного апелляционного суда от 30.08.2021 и постановлением Арбитражного суда Западно-Сибирского округа от 18.01.2022, в удовлетворении заявления отказано. В кассационной жалобе Губайдуллин Р.Ш. просит об отмене судебных актов, ссылаясь на игнорирование судами недобросовестности банка-кредитора, судебных приставов и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передачу акций в рамках исполнительного производства судебным приставом в соответствии со статьей 87 Федерального закона от 02.10.2007 № 229-ФЗ «Об исполнительном производстве», не попадающую под недействительную согласно статьям 10, 168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Губайдуллину Р.Ш.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