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Зимина Сергея Юрьевича в Арбитражный суд Ульяновской области обратился Банк ВТБ (ПАО) с уточненным заявлением о признании недействительными договора аренды недвижимости от 20.07.2018, дополнительных соглашений к нему от 20.08.2018 и от 20.09.2018, заключенных между должником и Рахмановым Виталием Станиславовичем, и применении последствий недействительности сделок в виде аннулирования регистрационной записи от 26.08.2019 № 73:23:011124:343-73/033/2019-1 и возврата в конкурсную массу должника объекта незавершенного строительства площадью 415,9 кв.м. К участию в рассмотрении настоящего спора в качестве заинтересованных лиц привлечены ООО «Мельбур», Управление Федеральной службы государственной регистрации, кадастра и картографии по Ульяновской области, филиал ФГБУ Федеральная кадастровая палата Федеральной службы государственной регистрации, кадастра и картографии по Ульяновской области, Князев С.Ю., ООО «Авангардстрой». 2 Определением Арбитражного суда Ульяновской области от 26.08.2021 заявление удовлетворено. Постановлением Одиннадцатого арбитражного апелляционного суда от 19.10.2021 определение суда первой инстанции оставлено без изменения. Арбитражный суд Поволжского округа постановлением от 24.01.2022 указанные судебные акты оставил без изменения. Рахманов Виталий Станиславович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суды пришли к выводу о доказанности наличия совокупности условий, необходимой для признания оспариваемых сделок недействительными, учитывая, что договор аренды и дополнения к нему являются притворными, прикрывающими действия сторон по выводу имущества должника, направленные на создание условий для осуществления регистрации права собственности на него за ответчиком (фиксации за ним прав на земельный участок, на котором расположен данный объект), а потому ничтожными на основании пункта 2 статьи 170 Гражданского кодекса Российской Федерации, тогда как прикрываемая сделка является недействительной на основании пункта 2 статьи 61.2 Федерального закона от 26.10.2002 № 127-ФЗ «О несостоятельности (банкротстве)» как направленная на причинение вреда имущественным интересам кредиторов должника, в частности, банка (залогового кредитора), имеющего разумные ожидания на получение удовлетворения своего 3 требования за счет всего имущества (объектов) должника, расположенного на находящемся у него в залоге земельном участке.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Рахманову Виталию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