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05.05.2022 повторно направило (согласно штампу на почтовом конверте)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(18.04.2022 – согласно штампу на почтовом конверте) жалоба возвращена заявителю на основании пункта 1 части 1 статьи 2915 Арбитражного процессуального кодекса Российской Федерации, поскольку в приобщенном к жалобе платежном поручении № 20 от 18.04.2022 государственная пошлина перечислена по реквизитам, отличным от реквизитов, предназначенных для уплаты государственной пошлины при обращении в Верховный Суд Российской Федерации, размещенных на официальном сайте Верховного Суда Российской Федерации в информационно- телекоммуникационной сети «Интернет».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3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Санаторий-профилакторий «СВЕТ»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