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действия конкурсного управляющего должником Басова Александра Николаевича, взыскании с него убытков в размере 75 531 192 рубля 14 копеек. Определением Арбитражного суда Свердловской области от 18.06.2021, оставленным без изменения постановлениями Семнадцатого арбитражного апелляционного суда от 08.10.2021 и Арбитражного суда Уральского округа от 08.02.2022, в удовлетворении заявленных требований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15 Гражданского кодекса Российской Федерации, статьями 20.3, 60, 129 Федерального закона от 26.10.2002 № 127-ФЗ «О несостоятельности (банкротстве)», исходили из того, что действия конкурсного управляющего соответствовали требованиям закона, не нарушили прав должника и его кредиторов, в связи с чем отказали в удовлетворении заявленных требований.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правовой поддержки бизнеса»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