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25.06.2019 должник признан несостоятельным (банкротом), открыто конкурсное производство, утверждён конкурсный управляющий. Определением Арбитражного суда города Москвы от 13.09.2021, оставленным без изменения постановлениями Девятого арбитражного апелляционного суда от 01.12.2021 и Арбитражного суда Московского округа от 03.03.2022, конкурсное производство в отношении должника завершено.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Завершая процедуру конкурсного производства, суд первой инстанции руководствовался статьями 129, 143, 147, 149 Закона о банкротстве и исходил из того, что предусмотренные законодательством о банкротстве мероприятия проведены в полном объёме и надлежащим образом завершены, в том числе распределены денежные средства, полученные в результате реализации имущества должника, частично погашена реестровая задолженность перед кредиторами, погашены текущие расходы, представлен отчет конкурсного управляющего о результатах проведения конкурсного производства в отношении должника и об использовании денежных средств должника. Суды апелляционной инстанции и округа поддержали данные выводы.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Михалевичу Игорю Феодосьевичу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