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«Амурская Эстейт» (далее – общество, сопоручитель) обратилось в суд с заявлением о процессуальном правопреемстве кредитора – публичного акционерного общества «Банк ВТБ» на сумму 177 853 995 рублей 15 копеек, уменьшении включённого в реестр требований кредиторов (далее – реестр) требования кредитора на сумму погашенного требования в размере 355 707 990 рублей 29 копеек. Определением Арбитражного суда Курской области от 06.08.2021, оставленным без изменения постановлениями Девятнадцатого арбитражного апелляционного суда от 22.10.2021 и Арбитражного суда Центрального округа от 26.01.2022, заявление удовлетворено в части замены кредитора на общество в размере 39 523 110 рублей 03 копейки. В остальной части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363 – 365 Гражданского кодекса Российской Федерации, статьями 16, 142 Федерального закона от 26.10.2002 № 127-ФЗ «О несостоятельности (банкротстве)», пунктом 8 постановления Пленума Высшего Арбитражного Суда Российской Федерации от 15.12.2004 № 29 «О некоторых вопросах практики применения Федерального закона «О несостоятельности (банкротстве)»), исходили из того, что общество – один из девяти сопоручителей, частично исполнившее за основного заёмщика обязательство перед кредитором из стоимости реализованного заложенного имущества, вправе претендовать на замену в реестре в размере соответствующей части исполненного, однако после полного погашения требования кредитора - банка. Отказывая в удовлетворении остальной части заявленных требований суды исходили из отсутствия безусловных обстоятельств, свидетельствующих о неправомерности нахождения требования кредитора - банка в реестре, указав что вопрос внесения в реестр соответствующих сведений о погашении требований кредиторов во всех процедурах банкротства отнесён к компетенции арбитражного управляющего (реестродержателя), о несогласии с действиями которого или о разрешении возникших с ним разногласий может быть заявлено участвующими в деле лицами.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«ПК Кристалл-Лефортово» Алябьеву Юрию Дмитриевичу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