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поданной посредством почтовой связи,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24.01.2022, на момент обращения общества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государственного регулирования цен и тарифов Амур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