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26.07.2021 заявленное требование удовлетворено. Постановлением Восьмого арбитражного апелляционного суда от 08.11.2021, оставленным без изменения постановлением Арбитражного суда Западно-Сибирского округа от 10.02.2022, решение суда первой инстанции отменено, в удовлетворении заявления предпринимателя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судов апелляционной инстанции и округа, оставить в силе решение суда первой инстанции.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пункта 2 статьи 93.1 Налогового кодекса инспекция вне рамок проведения налоговой проверки направила в адрес предпринимателя требование о представлении документов (информации), касающихся взаимоотношений с обществом с ограниченной ответственностью «Альфа Трейд» (далее – общество). Предпринимателем в налоговый орган направлено заявление с изложением обоснования незаконности требования, не подлежащего исполнению в силу подпункта 11 пункта 1 статьи 21 Налогового кодекса. Инспекцией составлен акт об обнаружении фактов, свидетельствующих о предусмотренных Налоговым кодексом налоговых нарушениях (за исключением налоговых правонарушений, дела о выявлении которых рассматриваются в порядке, установленном статьей 101 Налогового кодекса), и вынесено решение о привлечении предпринимателя к ответственности в виде штрафа по пункту 1 статьи 129.1 Налогового кодекса в размере 1 250 рублей за неисполнение требования (с учетом смягчающих обстоятельств размер штрафа уменьшен в 4 раза). Признавая решение инспекции в оспоренной части незаконным, суд первой инстанции исходил из несоответствия установленных законом требований к форме и содержанию требования. Суд указал, что под видом истребования сведений (документов) по конкретной сделке налоговый орган фактически истребовал сведения и документы по всем взаимоотношениям с контрагентом, то есть осуществил мероприятия налогового контроля, которые проводятся в рамках налоговых проверок. Отменяя решение суда, суд апелляционной инстанции, руководствуясь положениями статей 31, 93.1, 129.1 Налогового кодекса во взаимосвязи с представленными в материалы дела доказательствами, пришел к выводу о наличии оснований для привлечения предпринимателя к налоговой ответственности, с чем согласился суд округа. Судебные инстанции исходили из того, что требование о представлении документов (информации) выставлено инспекцией вне рамок проведения налоговой проверки в связи с необходимостью получения сведений 3 относительно сделок с контрагентом предпринимателя и осуществления налогового контроля. При этом требование инспекции содержало все необходимые сведения, позволяющие идентифицировать запрашиваемые документы (контрагента и сделки с ним, период интересующих сведений), а отсутствие в нем указания на проведение конкретного мероприятия налогового контроля не свидетельствует о недействительности требования, поскольку данный недостаток носит формальный характер и не препятствует реализации налоговым органом полномочий, предусмотренных в пункте 2 статьи 93.1 Налогового кодекса. Вместе с тем избыточное указание на необходимость представления документов за 2018 и 2019 годы, а также сведений и документов, не имеющих отношения к сделкам с обществом (их заключению, исполнению и оплате), не исключает ответственность за непредставление поименованных в требовании сведений и документов относительно отношений предпринимателя по конкретной сделке и не влияет на размер штрафа, который подлежит определению в твердой денежной сумме, независимо от количества непредставленных сведений и документов, размер которого снижен инспекцией в четыре раза в связи с применением обстоятельств, смягчающих ответственность. Доводы, изложенные в кассационной жалобе, являлись предметом рассмотрения судов апелляционной инстанции и округа, получили надлежащую правовую оценку с учетом установленных фактических обстоятельств дела и правильного применения положений налогового законодательства. Несогласие предпринимателя с выводами судов ввиду иного толкования положений закона к установленным фактическим обстоятельствам спора не свидетельствует о допущенной при рассмотрении дела судебной ошибке и в силу статьи 2916 Арбитражного процессуального кодекса Российской Федерации не может служить основанием для передачи жалобы на рассмотрение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Попылькину Александру Афанасьевичу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