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Забайкальского края от 17.09.2021, оставленным без изменения постановлением Четвертого арбитражного апелляционного суда от 11.11.2021 и постановлением Арбитражного суда Восточно-Сибирского округа от 02.02.2022, заявление Сытько М.М. о пересмотре судебного акта по вновь открывшимся обстоятельствам возвращено на основании пункта 3 части 1 статьи 315 Арбитражного процессуального кодекса Российской Федерации в связи с тем, что заявленные обстоятельства не отвечают признакам вновь открывшихся. В кассационной жалобе Сытько М.М. просит о пересмотре судебных актов вследствие неверного определения указанных обстоятельств и их влияния на судьбу решения по делу.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Возвращая заявление, суды руководствовались статьей 315 Арбитражного процессуального кодекса Российской Федерации, и установили, что названные должником обстоятельства не обладают признаками, предусмотренными частью 2 статьи 311 Арбитражного процессуального кодекса Российской Федерации, для признания их вновь открывшимися. Иная оценка должником обстоятельств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Сытько Михаилу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